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20" w:rsidRDefault="00723A24" w:rsidP="00491BE6">
      <w:pPr>
        <w:rPr>
          <w:b/>
        </w:rPr>
      </w:pPr>
      <w:r w:rsidRPr="00723A24">
        <w:rPr>
          <w:b/>
        </w:rPr>
        <w:t>Home Rule</w:t>
      </w:r>
      <w:r w:rsidR="00F612C8">
        <w:rPr>
          <w:b/>
        </w:rPr>
        <w:t xml:space="preserve"> in Alabama</w:t>
      </w:r>
    </w:p>
    <w:p w:rsidR="00F612C8" w:rsidRPr="00F612C8" w:rsidRDefault="00F612C8" w:rsidP="00491BE6">
      <w:pPr>
        <w:rPr>
          <w:b/>
        </w:rPr>
      </w:pPr>
    </w:p>
    <w:p w:rsidR="00841A20" w:rsidRPr="00723A24" w:rsidRDefault="00841A20" w:rsidP="00491BE6">
      <w:pPr>
        <w:rPr>
          <w:b/>
        </w:rPr>
      </w:pPr>
      <w:r w:rsidRPr="00723A24">
        <w:rPr>
          <w:b/>
        </w:rPr>
        <w:t>Background</w:t>
      </w:r>
    </w:p>
    <w:p w:rsidR="00FF51DF" w:rsidRDefault="00841A20" w:rsidP="00491BE6">
      <w:r>
        <w:t xml:space="preserve">For more than a decade, a debate has raged in Alabama over whether the state should scrap its 111-year-old constitution and adopt another one.  While many changes have been made to reduce its length and remove outdated and racist language, </w:t>
      </w:r>
      <w:r w:rsidR="00F612C8">
        <w:t>the controversial topic of</w:t>
      </w:r>
      <w:r w:rsidR="00AD0FA5">
        <w:t xml:space="preserve"> </w:t>
      </w:r>
      <w:r w:rsidR="00F612C8">
        <w:t>“</w:t>
      </w:r>
      <w:r w:rsidR="00AD0FA5">
        <w:t>home rule</w:t>
      </w:r>
      <w:r w:rsidR="00F612C8">
        <w:t>” remains</w:t>
      </w:r>
      <w:r w:rsidR="00AD0FA5">
        <w:t xml:space="preserve">.  </w:t>
      </w:r>
    </w:p>
    <w:p w:rsidR="006B3CA3" w:rsidRDefault="006B3CA3" w:rsidP="00491BE6">
      <w:pPr>
        <w:pStyle w:val="Default"/>
        <w:spacing w:line="276" w:lineRule="auto"/>
        <w:rPr>
          <w:rFonts w:asciiTheme="minorHAnsi" w:hAnsiTheme="minorHAnsi" w:cstheme="minorHAnsi"/>
        </w:rPr>
      </w:pPr>
    </w:p>
    <w:p w:rsidR="00B360AD" w:rsidRDefault="00DE1B95" w:rsidP="00491BE6">
      <w:pPr>
        <w:pStyle w:val="Default"/>
        <w:spacing w:line="276" w:lineRule="auto"/>
        <w:rPr>
          <w:rFonts w:asciiTheme="minorHAnsi" w:hAnsiTheme="minorHAnsi" w:cstheme="minorHAnsi"/>
        </w:rPr>
      </w:pPr>
      <w:r w:rsidRPr="00DE1B95">
        <w:rPr>
          <w:rFonts w:asciiTheme="minorHAnsi" w:hAnsiTheme="minorHAnsi" w:cstheme="minorHAnsi"/>
        </w:rPr>
        <w:t xml:space="preserve">Home rule is the </w:t>
      </w:r>
      <w:r>
        <w:rPr>
          <w:rFonts w:asciiTheme="minorHAnsi" w:hAnsiTheme="minorHAnsi" w:cstheme="minorHAnsi"/>
        </w:rPr>
        <w:t xml:space="preserve">extent to which </w:t>
      </w:r>
      <w:r w:rsidRPr="00DE1B95">
        <w:rPr>
          <w:rFonts w:asciiTheme="minorHAnsi" w:hAnsiTheme="minorHAnsi" w:cstheme="minorHAnsi"/>
        </w:rPr>
        <w:t>local governments manage the resources at their disposal without being required to seek authorization from the state.</w:t>
      </w:r>
      <w:r>
        <w:rPr>
          <w:rFonts w:asciiTheme="minorHAnsi" w:hAnsiTheme="minorHAnsi" w:cstheme="minorHAnsi"/>
        </w:rPr>
        <w:t xml:space="preserve">  </w:t>
      </w:r>
      <w:r w:rsidR="00B360AD">
        <w:rPr>
          <w:rFonts w:asciiTheme="minorHAnsi" w:hAnsiTheme="minorHAnsi" w:cstheme="minorHAnsi"/>
        </w:rPr>
        <w:t>The concept was first articulated in 1868 by Judge John Dillon of the Iowa Supreme Court</w:t>
      </w:r>
      <w:r w:rsidR="00B360AD">
        <w:rPr>
          <w:rStyle w:val="EndnoteReference"/>
          <w:rFonts w:asciiTheme="minorHAnsi" w:hAnsiTheme="minorHAnsi" w:cstheme="minorHAnsi"/>
        </w:rPr>
        <w:endnoteReference w:id="1"/>
      </w:r>
      <w:r w:rsidR="00B360AD">
        <w:rPr>
          <w:rFonts w:asciiTheme="minorHAnsi" w:hAnsiTheme="minorHAnsi" w:cstheme="minorHAnsi"/>
        </w:rPr>
        <w:t xml:space="preserve"> and later upheld by the U.S. Supreme Court in 1907.</w:t>
      </w:r>
      <w:r w:rsidR="00B360AD">
        <w:rPr>
          <w:rStyle w:val="EndnoteReference"/>
          <w:rFonts w:asciiTheme="minorHAnsi" w:hAnsiTheme="minorHAnsi" w:cstheme="minorHAnsi"/>
        </w:rPr>
        <w:endnoteReference w:id="2"/>
      </w:r>
      <w:r w:rsidR="00B360AD">
        <w:rPr>
          <w:rFonts w:asciiTheme="minorHAnsi" w:hAnsiTheme="minorHAnsi" w:cstheme="minorHAnsi"/>
        </w:rPr>
        <w:t xml:space="preserve">  According to “Dillon’s Rule,” local governments can exercise no more governing authority than state government permits.</w:t>
      </w:r>
      <w:r w:rsidR="00B360AD">
        <w:rPr>
          <w:rStyle w:val="EndnoteReference"/>
          <w:rFonts w:asciiTheme="minorHAnsi" w:hAnsiTheme="minorHAnsi" w:cstheme="minorHAnsi"/>
        </w:rPr>
        <w:endnoteReference w:id="3"/>
      </w:r>
      <w:r w:rsidR="00B360AD">
        <w:rPr>
          <w:rFonts w:asciiTheme="minorHAnsi" w:hAnsiTheme="minorHAnsi" w:cstheme="minorHAnsi"/>
        </w:rPr>
        <w:t xml:space="preserve">  In his words: </w:t>
      </w:r>
    </w:p>
    <w:p w:rsidR="00B360AD" w:rsidRDefault="00B360AD" w:rsidP="00491BE6">
      <w:pPr>
        <w:pStyle w:val="Default"/>
        <w:spacing w:line="276" w:lineRule="auto"/>
        <w:rPr>
          <w:rFonts w:asciiTheme="minorHAnsi" w:hAnsiTheme="minorHAnsi" w:cstheme="minorHAnsi"/>
        </w:rPr>
      </w:pPr>
    </w:p>
    <w:p w:rsidR="00B360AD" w:rsidRPr="00B360AD" w:rsidRDefault="00B360AD" w:rsidP="00491BE6">
      <w:pPr>
        <w:pStyle w:val="Default"/>
        <w:spacing w:line="276" w:lineRule="auto"/>
        <w:ind w:left="720"/>
        <w:rPr>
          <w:rFonts w:asciiTheme="minorHAnsi" w:hAnsiTheme="minorHAnsi" w:cstheme="minorHAnsi"/>
        </w:rPr>
      </w:pPr>
      <w:r w:rsidRPr="00A86C32">
        <w:rPr>
          <w:rFonts w:asciiTheme="minorHAnsi" w:hAnsiTheme="minorHAnsi" w:cstheme="minorHAnsi"/>
          <w:i/>
        </w:rPr>
        <w:t xml:space="preserve">Municipal corporations owe their origin to, and derive their powers and rights wholly from, the legislature.  It breathes into them the breath of life, without which they cannot exist.  As it creates, so may it </w:t>
      </w:r>
      <w:proofErr w:type="gramStart"/>
      <w:r w:rsidRPr="00A86C32">
        <w:rPr>
          <w:rFonts w:asciiTheme="minorHAnsi" w:hAnsiTheme="minorHAnsi" w:cstheme="minorHAnsi"/>
          <w:i/>
        </w:rPr>
        <w:t>destroy.</w:t>
      </w:r>
      <w:proofErr w:type="gramEnd"/>
      <w:r w:rsidRPr="00A86C32">
        <w:rPr>
          <w:rFonts w:asciiTheme="minorHAnsi" w:hAnsiTheme="minorHAnsi" w:cstheme="minorHAnsi"/>
          <w:i/>
        </w:rPr>
        <w:t xml:space="preserve">  If it may dest</w:t>
      </w:r>
      <w:r>
        <w:rPr>
          <w:rFonts w:asciiTheme="minorHAnsi" w:hAnsiTheme="minorHAnsi" w:cstheme="minorHAnsi"/>
          <w:i/>
        </w:rPr>
        <w:t>roy, it may abridge and control</w:t>
      </w:r>
      <w:r w:rsidRPr="00B360AD">
        <w:rPr>
          <w:rFonts w:asciiTheme="minorHAnsi" w:hAnsiTheme="minorHAnsi" w:cstheme="minorHAnsi"/>
        </w:rPr>
        <w:t>.</w:t>
      </w:r>
      <w:r w:rsidRPr="00B360AD">
        <w:rPr>
          <w:rStyle w:val="EndnoteReference"/>
          <w:rFonts w:asciiTheme="minorHAnsi" w:hAnsiTheme="minorHAnsi" w:cstheme="minorHAnsi"/>
        </w:rPr>
        <w:endnoteReference w:id="4"/>
      </w:r>
    </w:p>
    <w:p w:rsidR="00B360AD" w:rsidRDefault="00B360AD" w:rsidP="00491BE6">
      <w:pPr>
        <w:pStyle w:val="Default"/>
        <w:spacing w:line="276" w:lineRule="auto"/>
        <w:rPr>
          <w:rFonts w:asciiTheme="minorHAnsi" w:hAnsiTheme="minorHAnsi" w:cstheme="minorHAnsi"/>
        </w:rPr>
      </w:pPr>
    </w:p>
    <w:p w:rsidR="004A1882" w:rsidRDefault="000A1415" w:rsidP="004A1882">
      <w:pPr>
        <w:pStyle w:val="Default"/>
        <w:spacing w:line="276" w:lineRule="auto"/>
        <w:rPr>
          <w:rFonts w:asciiTheme="minorHAnsi" w:hAnsiTheme="minorHAnsi" w:cstheme="minorHAnsi"/>
        </w:rPr>
      </w:pPr>
      <w:r>
        <w:rPr>
          <w:rFonts w:asciiTheme="minorHAnsi" w:hAnsiTheme="minorHAnsi" w:cstheme="minorHAnsi"/>
        </w:rPr>
        <w:t xml:space="preserve">When Alabama’s </w:t>
      </w:r>
      <w:r w:rsidR="009B257D">
        <w:rPr>
          <w:rFonts w:asciiTheme="minorHAnsi" w:hAnsiTheme="minorHAnsi" w:cstheme="minorHAnsi"/>
        </w:rPr>
        <w:t>C</w:t>
      </w:r>
      <w:r>
        <w:rPr>
          <w:rFonts w:asciiTheme="minorHAnsi" w:hAnsiTheme="minorHAnsi" w:cstheme="minorHAnsi"/>
        </w:rPr>
        <w:t xml:space="preserve">onstitution was adopted in 1901, it </w:t>
      </w:r>
      <w:r w:rsidR="00491BE6">
        <w:rPr>
          <w:rFonts w:asciiTheme="minorHAnsi" w:hAnsiTheme="minorHAnsi" w:cstheme="minorHAnsi"/>
        </w:rPr>
        <w:t xml:space="preserve">stated </w:t>
      </w:r>
      <w:r w:rsidR="00C030D2">
        <w:rPr>
          <w:rFonts w:asciiTheme="minorHAnsi" w:hAnsiTheme="minorHAnsi" w:cstheme="minorHAnsi"/>
        </w:rPr>
        <w:t xml:space="preserve">in Section 44 </w:t>
      </w:r>
      <w:r w:rsidR="00491BE6">
        <w:rPr>
          <w:rFonts w:asciiTheme="minorHAnsi" w:hAnsiTheme="minorHAnsi" w:cstheme="minorHAnsi"/>
        </w:rPr>
        <w:t>that “the legislative power of the state shall be vested in a legislature, which shall consist of a sena</w:t>
      </w:r>
      <w:r w:rsidR="00C030D2">
        <w:rPr>
          <w:rFonts w:asciiTheme="minorHAnsi" w:hAnsiTheme="minorHAnsi" w:cstheme="minorHAnsi"/>
        </w:rPr>
        <w:t xml:space="preserve">te and </w:t>
      </w:r>
      <w:proofErr w:type="gramStart"/>
      <w:r w:rsidR="00C030D2">
        <w:rPr>
          <w:rFonts w:asciiTheme="minorHAnsi" w:hAnsiTheme="minorHAnsi" w:cstheme="minorHAnsi"/>
        </w:rPr>
        <w:t>house of representatives</w:t>
      </w:r>
      <w:proofErr w:type="gramEnd"/>
      <w:r w:rsidR="00C030D2">
        <w:rPr>
          <w:rFonts w:asciiTheme="minorHAnsi" w:hAnsiTheme="minorHAnsi" w:cstheme="minorHAnsi"/>
        </w:rPr>
        <w:t>,</w:t>
      </w:r>
      <w:r w:rsidR="00491BE6">
        <w:rPr>
          <w:rFonts w:asciiTheme="minorHAnsi" w:hAnsiTheme="minorHAnsi" w:cstheme="minorHAnsi"/>
        </w:rPr>
        <w:t>”</w:t>
      </w:r>
      <w:r w:rsidR="00C030D2">
        <w:rPr>
          <w:rStyle w:val="EndnoteReference"/>
          <w:rFonts w:asciiTheme="minorHAnsi" w:hAnsiTheme="minorHAnsi" w:cstheme="minorHAnsi"/>
        </w:rPr>
        <w:endnoteReference w:id="5"/>
      </w:r>
      <w:r w:rsidR="00C030D2">
        <w:rPr>
          <w:rFonts w:asciiTheme="minorHAnsi" w:hAnsiTheme="minorHAnsi" w:cstheme="minorHAnsi"/>
        </w:rPr>
        <w:t xml:space="preserve"> </w:t>
      </w:r>
      <w:r w:rsidR="00401FCD">
        <w:rPr>
          <w:rFonts w:asciiTheme="minorHAnsi" w:hAnsiTheme="minorHAnsi" w:cstheme="minorHAnsi"/>
        </w:rPr>
        <w:t>but local governments were not given any aut</w:t>
      </w:r>
      <w:r w:rsidR="00AC6BD3">
        <w:rPr>
          <w:rFonts w:asciiTheme="minorHAnsi" w:hAnsiTheme="minorHAnsi" w:cstheme="minorHAnsi"/>
        </w:rPr>
        <w:t xml:space="preserve">hority </w:t>
      </w:r>
      <w:r w:rsidR="00401FCD">
        <w:rPr>
          <w:rFonts w:asciiTheme="minorHAnsi" w:hAnsiTheme="minorHAnsi" w:cstheme="minorHAnsi"/>
        </w:rPr>
        <w:t>a</w:t>
      </w:r>
      <w:r w:rsidR="00CA37A5">
        <w:rPr>
          <w:rFonts w:asciiTheme="minorHAnsi" w:hAnsiTheme="minorHAnsi" w:cstheme="minorHAnsi"/>
        </w:rPr>
        <w:t>t all</w:t>
      </w:r>
      <w:r w:rsidR="00401FCD">
        <w:rPr>
          <w:rFonts w:asciiTheme="minorHAnsi" w:hAnsiTheme="minorHAnsi" w:cstheme="minorHAnsi"/>
        </w:rPr>
        <w:t xml:space="preserve">.  </w:t>
      </w:r>
      <w:r w:rsidR="004A1882" w:rsidRPr="00C030D2">
        <w:rPr>
          <w:rFonts w:asciiTheme="minorHAnsi" w:hAnsiTheme="minorHAnsi" w:cstheme="minorHAnsi"/>
        </w:rPr>
        <w:t xml:space="preserve">Because of this lack of </w:t>
      </w:r>
      <w:r w:rsidR="00CA37A5">
        <w:rPr>
          <w:rFonts w:asciiTheme="minorHAnsi" w:hAnsiTheme="minorHAnsi" w:cstheme="minorHAnsi"/>
        </w:rPr>
        <w:t>power</w:t>
      </w:r>
      <w:r w:rsidR="00AC6BD3">
        <w:rPr>
          <w:rFonts w:asciiTheme="minorHAnsi" w:hAnsiTheme="minorHAnsi" w:cstheme="minorHAnsi"/>
        </w:rPr>
        <w:t>, the S</w:t>
      </w:r>
      <w:r w:rsidR="004A1882" w:rsidRPr="00C030D2">
        <w:rPr>
          <w:rFonts w:asciiTheme="minorHAnsi" w:hAnsiTheme="minorHAnsi" w:cstheme="minorHAnsi"/>
        </w:rPr>
        <w:t xml:space="preserve">tate Legislature </w:t>
      </w:r>
      <w:r w:rsidR="00CA37A5">
        <w:rPr>
          <w:rFonts w:asciiTheme="minorHAnsi" w:hAnsiTheme="minorHAnsi" w:cstheme="minorHAnsi"/>
        </w:rPr>
        <w:t>makes</w:t>
      </w:r>
      <w:r w:rsidR="004A1882" w:rsidRPr="00C030D2">
        <w:rPr>
          <w:rFonts w:asciiTheme="minorHAnsi" w:hAnsiTheme="minorHAnsi" w:cstheme="minorHAnsi"/>
        </w:rPr>
        <w:t xml:space="preserve"> decisions for counties and local governments, one at a time, through “</w:t>
      </w:r>
      <w:r w:rsidR="004A1882">
        <w:rPr>
          <w:rFonts w:asciiTheme="minorHAnsi" w:hAnsiTheme="minorHAnsi" w:cstheme="minorHAnsi"/>
        </w:rPr>
        <w:t>local acts.</w:t>
      </w:r>
      <w:r w:rsidR="004A1882" w:rsidRPr="00C030D2">
        <w:rPr>
          <w:rFonts w:asciiTheme="minorHAnsi" w:hAnsiTheme="minorHAnsi" w:cstheme="minorHAnsi"/>
        </w:rPr>
        <w:t xml:space="preserve">” </w:t>
      </w:r>
      <w:r w:rsidR="004A1882">
        <w:rPr>
          <w:rFonts w:asciiTheme="minorHAnsi" w:hAnsiTheme="minorHAnsi" w:cstheme="minorHAnsi"/>
        </w:rPr>
        <w:t xml:space="preserve"> To make matters more confusing, constitutio</w:t>
      </w:r>
      <w:r w:rsidR="00CA37A5">
        <w:rPr>
          <w:rFonts w:asciiTheme="minorHAnsi" w:hAnsiTheme="minorHAnsi" w:cstheme="minorHAnsi"/>
        </w:rPr>
        <w:t xml:space="preserve">nal amendments must regularly be </w:t>
      </w:r>
      <w:r w:rsidR="004A1882">
        <w:rPr>
          <w:rFonts w:asciiTheme="minorHAnsi" w:hAnsiTheme="minorHAnsi" w:cstheme="minorHAnsi"/>
        </w:rPr>
        <w:t xml:space="preserve">passed by the entire state so that the Legislature </w:t>
      </w:r>
      <w:r w:rsidR="00CA37A5">
        <w:rPr>
          <w:rFonts w:asciiTheme="minorHAnsi" w:hAnsiTheme="minorHAnsi" w:cstheme="minorHAnsi"/>
        </w:rPr>
        <w:t>may</w:t>
      </w:r>
      <w:r w:rsidR="004A1882">
        <w:rPr>
          <w:rFonts w:asciiTheme="minorHAnsi" w:hAnsiTheme="minorHAnsi" w:cstheme="minorHAnsi"/>
        </w:rPr>
        <w:t xml:space="preserve"> vote on local issues that they were originally prohibited from </w:t>
      </w:r>
      <w:r w:rsidR="00CA37A5">
        <w:rPr>
          <w:rFonts w:asciiTheme="minorHAnsi" w:hAnsiTheme="minorHAnsi" w:cstheme="minorHAnsi"/>
        </w:rPr>
        <w:t>addressing</w:t>
      </w:r>
      <w:r w:rsidR="004A1882">
        <w:rPr>
          <w:rFonts w:asciiTheme="minorHAnsi" w:hAnsiTheme="minorHAnsi" w:cstheme="minorHAnsi"/>
        </w:rPr>
        <w:t xml:space="preserve"> by the 1901 Constitution.  As a result of these rules, Alabama has the </w:t>
      </w:r>
      <w:r w:rsidR="004A1882" w:rsidRPr="00C030D2">
        <w:rPr>
          <w:rFonts w:asciiTheme="minorHAnsi" w:hAnsiTheme="minorHAnsi" w:cstheme="minorHAnsi"/>
        </w:rPr>
        <w:t>dubious honor of having the longest constitution in the world, with more than 35,000 local acts ensconced in it.</w:t>
      </w:r>
      <w:r w:rsidR="004A1882" w:rsidRPr="00C030D2">
        <w:rPr>
          <w:rStyle w:val="EndnoteReference"/>
          <w:rFonts w:asciiTheme="minorHAnsi" w:hAnsiTheme="minorHAnsi" w:cstheme="minorHAnsi"/>
        </w:rPr>
        <w:endnoteReference w:id="6"/>
      </w:r>
      <w:r w:rsidR="004A1882" w:rsidRPr="00C030D2">
        <w:rPr>
          <w:rFonts w:asciiTheme="minorHAnsi" w:hAnsiTheme="minorHAnsi" w:cstheme="minorHAnsi"/>
        </w:rPr>
        <w:t xml:space="preserve">  </w:t>
      </w:r>
    </w:p>
    <w:p w:rsidR="00497B60" w:rsidRPr="00C030D2" w:rsidRDefault="00497B60" w:rsidP="00491BE6">
      <w:pPr>
        <w:pStyle w:val="Default"/>
        <w:spacing w:line="276" w:lineRule="auto"/>
        <w:rPr>
          <w:rFonts w:asciiTheme="minorHAnsi" w:hAnsiTheme="minorHAnsi" w:cstheme="minorHAnsi"/>
        </w:rPr>
      </w:pPr>
    </w:p>
    <w:p w:rsidR="00491BE6" w:rsidRPr="00C030D2" w:rsidRDefault="00491BE6" w:rsidP="00491BE6">
      <w:pPr>
        <w:rPr>
          <w:rFonts w:cstheme="minorHAnsi"/>
          <w:b/>
        </w:rPr>
      </w:pPr>
      <w:r w:rsidRPr="00C030D2">
        <w:rPr>
          <w:rFonts w:cstheme="minorHAnsi"/>
          <w:b/>
        </w:rPr>
        <w:t>Policy Considerations</w:t>
      </w:r>
    </w:p>
    <w:p w:rsidR="00491BE6" w:rsidRPr="00C030D2" w:rsidRDefault="00491BE6" w:rsidP="00491BE6">
      <w:pPr>
        <w:rPr>
          <w:rFonts w:cstheme="minorHAnsi"/>
        </w:rPr>
      </w:pPr>
      <w:r w:rsidRPr="00C030D2">
        <w:rPr>
          <w:rFonts w:cstheme="minorHAnsi"/>
        </w:rPr>
        <w:t xml:space="preserve">There are several ways Alabama could clarify </w:t>
      </w:r>
      <w:r w:rsidR="00595A01">
        <w:rPr>
          <w:rFonts w:cstheme="minorHAnsi"/>
        </w:rPr>
        <w:t xml:space="preserve">and expand </w:t>
      </w:r>
      <w:r w:rsidRPr="00C030D2">
        <w:rPr>
          <w:rFonts w:cstheme="minorHAnsi"/>
        </w:rPr>
        <w:t xml:space="preserve">its existing home rule laws, each with its advantages and disadvantages.  </w:t>
      </w:r>
    </w:p>
    <w:p w:rsidR="00C107C7" w:rsidRDefault="00C107C7" w:rsidP="00491BE6"/>
    <w:p w:rsidR="00C107C7" w:rsidRPr="00C107C7" w:rsidRDefault="00C107C7" w:rsidP="00491BE6">
      <w:pPr>
        <w:rPr>
          <w:u w:val="single"/>
        </w:rPr>
      </w:pPr>
      <w:proofErr w:type="gramStart"/>
      <w:r w:rsidRPr="00C107C7">
        <w:rPr>
          <w:u w:val="single"/>
        </w:rPr>
        <w:t>Unlimited home rule.</w:t>
      </w:r>
      <w:proofErr w:type="gramEnd"/>
    </w:p>
    <w:p w:rsidR="006759A6" w:rsidRDefault="00C107C7" w:rsidP="00491BE6">
      <w:r>
        <w:t>In its purest form, unlimited home rule would allow local gove</w:t>
      </w:r>
      <w:r w:rsidR="004A1882">
        <w:t xml:space="preserve">rnments to make decisions about </w:t>
      </w:r>
      <w:r>
        <w:t xml:space="preserve">all </w:t>
      </w:r>
      <w:r w:rsidR="006759A6">
        <w:t xml:space="preserve">local issues that are of no concern to the rest of the state.  </w:t>
      </w:r>
      <w:r w:rsidR="00DE3B29">
        <w:t>L</w:t>
      </w:r>
      <w:r w:rsidR="006759A6">
        <w:t xml:space="preserve">ocal taxes could be raised or lowered, building restrictions could be eased or tightened, and zoning laws could be changed or established without having to wait for the state government to give its approval.  </w:t>
      </w:r>
    </w:p>
    <w:p w:rsidR="006759A6" w:rsidRDefault="006759A6" w:rsidP="00491BE6"/>
    <w:p w:rsidR="00935353" w:rsidRDefault="006759A6" w:rsidP="00491BE6">
      <w:r w:rsidRPr="00BD554A">
        <w:lastRenderedPageBreak/>
        <w:t xml:space="preserve">While </w:t>
      </w:r>
      <w:r w:rsidR="00CA37A5">
        <w:t>advocates of unlimited home rule espouse the freedom it would provide,</w:t>
      </w:r>
      <w:r w:rsidRPr="00BD554A">
        <w:t xml:space="preserve"> the pra</w:t>
      </w:r>
      <w:r w:rsidR="00DE3B29" w:rsidRPr="00BD554A">
        <w:t>ctice of unlimited home rule is more compl</w:t>
      </w:r>
      <w:r w:rsidR="00F62407">
        <w:t>icated.  T</w:t>
      </w:r>
      <w:r w:rsidR="00DE3B29" w:rsidRPr="00BD554A">
        <w:t xml:space="preserve">he </w:t>
      </w:r>
      <w:r w:rsidR="009B257D">
        <w:t>Alabama</w:t>
      </w:r>
      <w:r w:rsidR="009B257D" w:rsidRPr="00BD554A">
        <w:t xml:space="preserve"> </w:t>
      </w:r>
      <w:r w:rsidR="009B257D">
        <w:t>C</w:t>
      </w:r>
      <w:r w:rsidR="00DE3B29" w:rsidRPr="00BD554A">
        <w:t xml:space="preserve">onstitution requires both the state government and local governments to have balanced budgets.  </w:t>
      </w:r>
      <w:r w:rsidR="008B6369">
        <w:t>Presently, the size</w:t>
      </w:r>
      <w:r w:rsidR="00F62407">
        <w:t xml:space="preserve"> </w:t>
      </w:r>
      <w:r w:rsidR="008B6369">
        <w:t xml:space="preserve">of local government is limited because of </w:t>
      </w:r>
      <w:r w:rsidR="00F62407">
        <w:t>the</w:t>
      </w:r>
      <w:r w:rsidR="008B6369">
        <w:t xml:space="preserve"> inability</w:t>
      </w:r>
      <w:r w:rsidR="00F62407">
        <w:t xml:space="preserve"> of counties and municipalities</w:t>
      </w:r>
      <w:r w:rsidR="008B6369">
        <w:t xml:space="preserve"> to raise revenues </w:t>
      </w:r>
      <w:r w:rsidR="00F62407">
        <w:t xml:space="preserve">without state legislative approval.  When local governments are able to unilaterally raise their own taxes, residents </w:t>
      </w:r>
      <w:r w:rsidR="00595A01">
        <w:t>could find themselves subject to ever expanding local bureaucracies and tax burdens</w:t>
      </w:r>
      <w:r w:rsidR="009B257D">
        <w:t>,</w:t>
      </w:r>
      <w:r w:rsidR="00595A01">
        <w:t xml:space="preserve"> in addition to those already placed on them by the state and federal government.  </w:t>
      </w:r>
    </w:p>
    <w:p w:rsidR="00AC6BD3" w:rsidRDefault="00AC6BD3" w:rsidP="00AC6BD3">
      <w:r w:rsidRPr="00AC6BD3">
        <w:t xml:space="preserve">Another concern arises when local governments make poor fiscal decisions.  </w:t>
      </w:r>
      <w:r w:rsidR="00431BC3">
        <w:t xml:space="preserve">Because local governments are </w:t>
      </w:r>
      <w:r w:rsidRPr="00AC6BD3">
        <w:t xml:space="preserve">subdivisions of the state government, the state may, in some instances, be held responsible for the debts and obligations created by local governments. </w:t>
      </w:r>
    </w:p>
    <w:p w:rsidR="00DE3B29" w:rsidRPr="005D45F3" w:rsidRDefault="00DE3B29" w:rsidP="00491BE6"/>
    <w:p w:rsidR="00C107C7" w:rsidRPr="00C107C7" w:rsidRDefault="00C107C7" w:rsidP="00491BE6">
      <w:pPr>
        <w:rPr>
          <w:u w:val="single"/>
        </w:rPr>
      </w:pPr>
      <w:proofErr w:type="gramStart"/>
      <w:r w:rsidRPr="00C107C7">
        <w:rPr>
          <w:u w:val="single"/>
        </w:rPr>
        <w:t>Limited home rule.</w:t>
      </w:r>
      <w:proofErr w:type="gramEnd"/>
      <w:r w:rsidRPr="00C107C7">
        <w:rPr>
          <w:u w:val="single"/>
        </w:rPr>
        <w:t xml:space="preserve">  </w:t>
      </w:r>
    </w:p>
    <w:p w:rsidR="004E101F" w:rsidRDefault="00F62407" w:rsidP="00491BE6">
      <w:pPr>
        <w:rPr>
          <w:rFonts w:cstheme="minorHAnsi"/>
        </w:rPr>
      </w:pPr>
      <w:r>
        <w:rPr>
          <w:rFonts w:cstheme="minorHAnsi"/>
        </w:rPr>
        <w:t>One way to expand home rule without some of the concerns associated with unlimited home rule is to carve out certain legislative areas from the consideration of local governments</w:t>
      </w:r>
      <w:r w:rsidR="00595A01">
        <w:rPr>
          <w:rFonts w:cstheme="minorHAnsi"/>
        </w:rPr>
        <w:t xml:space="preserve">.  </w:t>
      </w:r>
      <w:r w:rsidR="00FC307D">
        <w:rPr>
          <w:rFonts w:cstheme="minorHAnsi"/>
        </w:rPr>
        <w:t>Under this model, the State Legislature</w:t>
      </w:r>
      <w:r w:rsidR="00595A01">
        <w:rPr>
          <w:rFonts w:cstheme="minorHAnsi"/>
        </w:rPr>
        <w:t xml:space="preserve"> </w:t>
      </w:r>
      <w:r w:rsidR="00FC307D">
        <w:rPr>
          <w:rFonts w:cstheme="minorHAnsi"/>
        </w:rPr>
        <w:t xml:space="preserve">would </w:t>
      </w:r>
      <w:r w:rsidR="00595A01">
        <w:rPr>
          <w:rFonts w:cstheme="minorHAnsi"/>
        </w:rPr>
        <w:t>retain jurisdiction over issues such as zoning and taxation</w:t>
      </w:r>
      <w:r w:rsidR="00FC307D">
        <w:rPr>
          <w:rFonts w:cstheme="minorHAnsi"/>
        </w:rPr>
        <w:t xml:space="preserve">, </w:t>
      </w:r>
      <w:r w:rsidR="00595A01">
        <w:rPr>
          <w:rFonts w:cstheme="minorHAnsi"/>
        </w:rPr>
        <w:t xml:space="preserve">while ceding authority to local governments in other areas.  </w:t>
      </w:r>
      <w:r w:rsidR="00FC307D">
        <w:rPr>
          <w:rFonts w:cstheme="minorHAnsi"/>
        </w:rPr>
        <w:t xml:space="preserve">Local governments would </w:t>
      </w:r>
      <w:r w:rsidR="00595A01">
        <w:rPr>
          <w:rFonts w:cstheme="minorHAnsi"/>
        </w:rPr>
        <w:t xml:space="preserve">also </w:t>
      </w:r>
      <w:r w:rsidR="00FC307D">
        <w:rPr>
          <w:rFonts w:cstheme="minorHAnsi"/>
        </w:rPr>
        <w:t xml:space="preserve">be able to </w:t>
      </w:r>
      <w:r w:rsidR="003C710C">
        <w:rPr>
          <w:rFonts w:cstheme="minorHAnsi"/>
        </w:rPr>
        <w:t xml:space="preserve">allocate and manage </w:t>
      </w:r>
      <w:r w:rsidR="00BD554A">
        <w:rPr>
          <w:rFonts w:cstheme="minorHAnsi"/>
        </w:rPr>
        <w:t xml:space="preserve">resources </w:t>
      </w:r>
      <w:r w:rsidR="003C710C">
        <w:rPr>
          <w:rFonts w:cstheme="minorHAnsi"/>
        </w:rPr>
        <w:t xml:space="preserve">provided by the state and federal governments, allowing them to use them more efficiently and effectively.  Periodically, the state would conduct audits to ensure that local governments </w:t>
      </w:r>
      <w:r w:rsidR="004E101F">
        <w:rPr>
          <w:rFonts w:cstheme="minorHAnsi"/>
        </w:rPr>
        <w:t xml:space="preserve">were accountable for </w:t>
      </w:r>
      <w:r w:rsidR="00595A01">
        <w:rPr>
          <w:rFonts w:cstheme="minorHAnsi"/>
        </w:rPr>
        <w:t>state resources</w:t>
      </w:r>
      <w:r w:rsidR="004E101F">
        <w:rPr>
          <w:rFonts w:cstheme="minorHAnsi"/>
        </w:rPr>
        <w:t xml:space="preserve">, </w:t>
      </w:r>
      <w:r w:rsidR="009B257D">
        <w:rPr>
          <w:rFonts w:cstheme="minorHAnsi"/>
        </w:rPr>
        <w:t>and</w:t>
      </w:r>
      <w:r w:rsidR="004E101F">
        <w:rPr>
          <w:rFonts w:cstheme="minorHAnsi"/>
        </w:rPr>
        <w:t xml:space="preserve"> </w:t>
      </w:r>
      <w:r w:rsidR="00595A01">
        <w:rPr>
          <w:rFonts w:cstheme="minorHAnsi"/>
        </w:rPr>
        <w:t xml:space="preserve">to </w:t>
      </w:r>
      <w:r w:rsidR="004E101F">
        <w:rPr>
          <w:rFonts w:cstheme="minorHAnsi"/>
        </w:rPr>
        <w:t xml:space="preserve">prevent </w:t>
      </w:r>
      <w:r w:rsidR="009B257D">
        <w:rPr>
          <w:rFonts w:cstheme="minorHAnsi"/>
        </w:rPr>
        <w:t>the use of</w:t>
      </w:r>
      <w:r w:rsidR="004E101F">
        <w:rPr>
          <w:rFonts w:cstheme="minorHAnsi"/>
        </w:rPr>
        <w:t xml:space="preserve"> state money for personal political </w:t>
      </w:r>
      <w:r w:rsidR="009B257D">
        <w:rPr>
          <w:rFonts w:cstheme="minorHAnsi"/>
        </w:rPr>
        <w:t>gain</w:t>
      </w:r>
      <w:r w:rsidR="004E101F">
        <w:rPr>
          <w:rFonts w:cstheme="minorHAnsi"/>
        </w:rPr>
        <w:t xml:space="preserve">.  </w:t>
      </w:r>
    </w:p>
    <w:p w:rsidR="00F043B4" w:rsidRDefault="00F043B4" w:rsidP="00491BE6"/>
    <w:p w:rsidR="004A1882" w:rsidRPr="004A1882" w:rsidRDefault="004A1882" w:rsidP="00491BE6">
      <w:pPr>
        <w:rPr>
          <w:b/>
        </w:rPr>
      </w:pPr>
      <w:r w:rsidRPr="004A1882">
        <w:rPr>
          <w:b/>
        </w:rPr>
        <w:t>Conclusion</w:t>
      </w:r>
    </w:p>
    <w:p w:rsidR="004A1882" w:rsidRDefault="00595A01" w:rsidP="004A1882">
      <w:pPr>
        <w:pStyle w:val="Default"/>
        <w:spacing w:line="276" w:lineRule="auto"/>
        <w:rPr>
          <w:rFonts w:asciiTheme="minorHAnsi" w:hAnsiTheme="minorHAnsi" w:cstheme="minorHAnsi"/>
        </w:rPr>
      </w:pPr>
      <w:r>
        <w:rPr>
          <w:rFonts w:asciiTheme="minorHAnsi" w:hAnsiTheme="minorHAnsi" w:cstheme="minorHAnsi"/>
        </w:rPr>
        <w:t xml:space="preserve">Regardless of how Alabamians resolve the issue of home rule, local governments need </w:t>
      </w:r>
      <w:r w:rsidR="007651AB">
        <w:rPr>
          <w:rFonts w:asciiTheme="minorHAnsi" w:hAnsiTheme="minorHAnsi" w:cstheme="minorHAnsi"/>
        </w:rPr>
        <w:t xml:space="preserve">a </w:t>
      </w:r>
      <w:r>
        <w:rPr>
          <w:rFonts w:asciiTheme="minorHAnsi" w:hAnsiTheme="minorHAnsi" w:cstheme="minorHAnsi"/>
        </w:rPr>
        <w:t>clear delineation of their authorit</w:t>
      </w:r>
      <w:r w:rsidR="007651AB">
        <w:rPr>
          <w:rFonts w:asciiTheme="minorHAnsi" w:hAnsiTheme="minorHAnsi" w:cstheme="minorHAnsi"/>
        </w:rPr>
        <w:t>y</w:t>
      </w:r>
      <w:r>
        <w:rPr>
          <w:rFonts w:asciiTheme="minorHAnsi" w:hAnsiTheme="minorHAnsi" w:cstheme="minorHAnsi"/>
        </w:rPr>
        <w:t>.  Generations of legislation and constitutional amendments have resulted in a patchwork o</w:t>
      </w:r>
      <w:r w:rsidR="007651AB">
        <w:rPr>
          <w:rFonts w:asciiTheme="minorHAnsi" w:hAnsiTheme="minorHAnsi" w:cstheme="minorHAnsi"/>
        </w:rPr>
        <w:t xml:space="preserve">f power </w:t>
      </w:r>
      <w:r>
        <w:rPr>
          <w:rFonts w:asciiTheme="minorHAnsi" w:hAnsiTheme="minorHAnsi" w:cstheme="minorHAnsi"/>
        </w:rPr>
        <w:t xml:space="preserve">that confuses citizens and results in different treatment of local governments across the state.  </w:t>
      </w:r>
      <w:r w:rsidR="00153399">
        <w:rPr>
          <w:rFonts w:asciiTheme="minorHAnsi" w:hAnsiTheme="minorHAnsi" w:cstheme="minorHAnsi"/>
        </w:rPr>
        <w:t xml:space="preserve">In order for the state to prosper, Alabama should adopt a </w:t>
      </w:r>
      <w:r w:rsidR="007651AB">
        <w:rPr>
          <w:rFonts w:asciiTheme="minorHAnsi" w:hAnsiTheme="minorHAnsi" w:cstheme="minorHAnsi"/>
        </w:rPr>
        <w:t xml:space="preserve">uniform </w:t>
      </w:r>
      <w:r w:rsidR="00153399">
        <w:rPr>
          <w:rFonts w:asciiTheme="minorHAnsi" w:hAnsiTheme="minorHAnsi" w:cstheme="minorHAnsi"/>
        </w:rPr>
        <w:t xml:space="preserve">system of </w:t>
      </w:r>
      <w:r w:rsidR="00431BC3">
        <w:rPr>
          <w:rFonts w:asciiTheme="minorHAnsi" w:hAnsiTheme="minorHAnsi" w:cstheme="minorHAnsi"/>
        </w:rPr>
        <w:t xml:space="preserve">limited </w:t>
      </w:r>
      <w:r w:rsidR="00153399">
        <w:rPr>
          <w:rFonts w:asciiTheme="minorHAnsi" w:hAnsiTheme="minorHAnsi" w:cstheme="minorHAnsi"/>
        </w:rPr>
        <w:t>home rule that improves government efficiency without increasing</w:t>
      </w:r>
      <w:r w:rsidR="00AC6BD3">
        <w:rPr>
          <w:rFonts w:asciiTheme="minorHAnsi" w:hAnsiTheme="minorHAnsi" w:cstheme="minorHAnsi"/>
        </w:rPr>
        <w:t xml:space="preserve"> the state’s exposure for local fiscal decisions or</w:t>
      </w:r>
      <w:r w:rsidR="00153399">
        <w:rPr>
          <w:rFonts w:asciiTheme="minorHAnsi" w:hAnsiTheme="minorHAnsi" w:cstheme="minorHAnsi"/>
        </w:rPr>
        <w:t xml:space="preserve"> the burden of government that</w:t>
      </w:r>
      <w:r w:rsidR="00AC6BD3">
        <w:rPr>
          <w:rFonts w:asciiTheme="minorHAnsi" w:hAnsiTheme="minorHAnsi" w:cstheme="minorHAnsi"/>
        </w:rPr>
        <w:t xml:space="preserve"> Alabamians </w:t>
      </w:r>
      <w:r w:rsidR="00153399">
        <w:rPr>
          <w:rFonts w:asciiTheme="minorHAnsi" w:hAnsiTheme="minorHAnsi" w:cstheme="minorHAnsi"/>
        </w:rPr>
        <w:t xml:space="preserve">already face.  </w:t>
      </w:r>
    </w:p>
    <w:p w:rsidR="00431BC3" w:rsidRDefault="00431BC3" w:rsidP="004A1882">
      <w:pPr>
        <w:pStyle w:val="Default"/>
        <w:spacing w:line="276" w:lineRule="auto"/>
        <w:rPr>
          <w:rFonts w:asciiTheme="minorHAnsi" w:hAnsiTheme="minorHAnsi" w:cstheme="minorHAnsi"/>
        </w:rPr>
      </w:pPr>
    </w:p>
    <w:p w:rsidR="00431BC3" w:rsidRDefault="00431BC3" w:rsidP="004A1882">
      <w:pPr>
        <w:pStyle w:val="Default"/>
        <w:spacing w:line="276" w:lineRule="auto"/>
        <w:rPr>
          <w:rFonts w:asciiTheme="minorHAnsi" w:hAnsiTheme="minorHAnsi" w:cstheme="minorHAnsi"/>
          <w:b/>
        </w:rPr>
      </w:pPr>
      <w:r w:rsidRPr="00431BC3">
        <w:rPr>
          <w:rFonts w:asciiTheme="minorHAnsi" w:hAnsiTheme="minorHAnsi" w:cstheme="minorHAnsi"/>
          <w:b/>
        </w:rPr>
        <w:t>Box Points</w:t>
      </w:r>
    </w:p>
    <w:p w:rsidR="00431BC3" w:rsidRPr="00431BC3" w:rsidRDefault="00431BC3" w:rsidP="00431BC3">
      <w:pPr>
        <w:pStyle w:val="Default"/>
        <w:numPr>
          <w:ilvl w:val="0"/>
          <w:numId w:val="2"/>
        </w:numPr>
        <w:spacing w:line="276" w:lineRule="auto"/>
        <w:rPr>
          <w:rFonts w:asciiTheme="minorHAnsi" w:hAnsiTheme="minorHAnsi" w:cstheme="minorHAnsi"/>
          <w:b/>
        </w:rPr>
      </w:pPr>
      <w:r w:rsidRPr="00DE1B95">
        <w:rPr>
          <w:rFonts w:asciiTheme="minorHAnsi" w:hAnsiTheme="minorHAnsi" w:cstheme="minorHAnsi"/>
        </w:rPr>
        <w:t xml:space="preserve">Home rule is the </w:t>
      </w:r>
      <w:r>
        <w:rPr>
          <w:rFonts w:asciiTheme="minorHAnsi" w:hAnsiTheme="minorHAnsi" w:cstheme="minorHAnsi"/>
        </w:rPr>
        <w:t xml:space="preserve">extent to which </w:t>
      </w:r>
      <w:r w:rsidRPr="00DE1B95">
        <w:rPr>
          <w:rFonts w:asciiTheme="minorHAnsi" w:hAnsiTheme="minorHAnsi" w:cstheme="minorHAnsi"/>
        </w:rPr>
        <w:t>local governments manage the resources at their disposal without being required to seek authorization from the state.</w:t>
      </w:r>
    </w:p>
    <w:p w:rsidR="00431BC3" w:rsidRPr="00431BC3" w:rsidRDefault="00431BC3" w:rsidP="00431BC3">
      <w:pPr>
        <w:pStyle w:val="Default"/>
        <w:numPr>
          <w:ilvl w:val="0"/>
          <w:numId w:val="2"/>
        </w:numPr>
        <w:spacing w:line="276" w:lineRule="auto"/>
        <w:rPr>
          <w:rFonts w:asciiTheme="minorHAnsi" w:hAnsiTheme="minorHAnsi" w:cstheme="minorHAnsi"/>
        </w:rPr>
      </w:pPr>
      <w:r>
        <w:rPr>
          <w:rFonts w:asciiTheme="minorHAnsi" w:hAnsiTheme="minorHAnsi" w:cstheme="minorHAnsi"/>
        </w:rPr>
        <w:t xml:space="preserve">Alabama should adopt a uniform system of limited home rule that improves government efficiency without increasing the state’s exposure for local fiscal decisions or the burden of government that Alabamians already face.  </w:t>
      </w:r>
      <w:bookmarkStart w:id="0" w:name="_GoBack"/>
      <w:bookmarkEnd w:id="0"/>
    </w:p>
    <w:sectPr w:rsidR="00431BC3" w:rsidRPr="00431B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1C" w:rsidRDefault="0016461C" w:rsidP="00FF51DF">
      <w:pPr>
        <w:spacing w:line="240" w:lineRule="auto"/>
      </w:pPr>
      <w:r>
        <w:separator/>
      </w:r>
    </w:p>
  </w:endnote>
  <w:endnote w:type="continuationSeparator" w:id="0">
    <w:p w:rsidR="0016461C" w:rsidRDefault="0016461C" w:rsidP="00FF51DF">
      <w:pPr>
        <w:spacing w:line="240" w:lineRule="auto"/>
      </w:pPr>
      <w:r>
        <w:continuationSeparator/>
      </w:r>
    </w:p>
  </w:endnote>
  <w:endnote w:id="1">
    <w:p w:rsidR="00B360AD" w:rsidRPr="00497B60" w:rsidRDefault="00B360AD" w:rsidP="00E1011D">
      <w:pPr>
        <w:pStyle w:val="EndnoteText"/>
        <w:spacing w:after="40"/>
        <w:rPr>
          <w:sz w:val="24"/>
          <w:szCs w:val="24"/>
        </w:rPr>
      </w:pPr>
      <w:r w:rsidRPr="00497B60">
        <w:rPr>
          <w:rStyle w:val="EndnoteReference"/>
          <w:sz w:val="24"/>
          <w:szCs w:val="24"/>
        </w:rPr>
        <w:endnoteRef/>
      </w:r>
      <w:r w:rsidRPr="00497B60">
        <w:rPr>
          <w:sz w:val="24"/>
          <w:szCs w:val="24"/>
        </w:rPr>
        <w:t xml:space="preserve"> </w:t>
      </w:r>
      <w:proofErr w:type="gramStart"/>
      <w:r w:rsidR="00E1011D" w:rsidRPr="00497B60">
        <w:rPr>
          <w:sz w:val="24"/>
          <w:szCs w:val="24"/>
        </w:rPr>
        <w:t>Clinton v. Cedar Rapids &amp; Missouri River R.R. Co., 24 Iowa 455 (1868)</w:t>
      </w:r>
      <w:r w:rsidRPr="00497B60">
        <w:rPr>
          <w:sz w:val="24"/>
          <w:szCs w:val="24"/>
        </w:rPr>
        <w:t>.</w:t>
      </w:r>
      <w:proofErr w:type="gramEnd"/>
    </w:p>
  </w:endnote>
  <w:endnote w:id="2">
    <w:p w:rsidR="00B360AD" w:rsidRPr="00497B60" w:rsidRDefault="00B360AD" w:rsidP="00E1011D">
      <w:pPr>
        <w:pStyle w:val="EndnoteText"/>
        <w:spacing w:after="40"/>
        <w:rPr>
          <w:sz w:val="24"/>
          <w:szCs w:val="24"/>
        </w:rPr>
      </w:pPr>
      <w:r w:rsidRPr="00497B60">
        <w:rPr>
          <w:rStyle w:val="EndnoteReference"/>
          <w:sz w:val="24"/>
          <w:szCs w:val="24"/>
        </w:rPr>
        <w:endnoteRef/>
      </w:r>
      <w:r w:rsidRPr="00497B60">
        <w:rPr>
          <w:sz w:val="24"/>
          <w:szCs w:val="24"/>
        </w:rPr>
        <w:t xml:space="preserve"> </w:t>
      </w:r>
      <w:proofErr w:type="gramStart"/>
      <w:r w:rsidR="00E1011D" w:rsidRPr="00497B60">
        <w:rPr>
          <w:sz w:val="24"/>
          <w:szCs w:val="24"/>
        </w:rPr>
        <w:t xml:space="preserve">Hunter v. City of Pittsburgh, </w:t>
      </w:r>
      <w:r w:rsidRPr="00497B60">
        <w:rPr>
          <w:sz w:val="24"/>
          <w:szCs w:val="24"/>
        </w:rPr>
        <w:t>207 U.S. 161 (1907).</w:t>
      </w:r>
      <w:proofErr w:type="gramEnd"/>
    </w:p>
  </w:endnote>
  <w:endnote w:id="3">
    <w:p w:rsidR="00B360AD" w:rsidRPr="00497B60" w:rsidRDefault="00B360AD" w:rsidP="00E1011D">
      <w:pPr>
        <w:pStyle w:val="Default"/>
        <w:spacing w:after="40"/>
        <w:rPr>
          <w:rFonts w:asciiTheme="minorHAnsi" w:hAnsiTheme="minorHAnsi" w:cstheme="minorHAnsi"/>
        </w:rPr>
      </w:pPr>
      <w:r w:rsidRPr="00497B60">
        <w:rPr>
          <w:rStyle w:val="EndnoteReference"/>
          <w:rFonts w:asciiTheme="minorHAnsi" w:hAnsiTheme="minorHAnsi" w:cstheme="minorHAnsi"/>
        </w:rPr>
        <w:endnoteRef/>
      </w:r>
      <w:r w:rsidRPr="00497B60">
        <w:rPr>
          <w:rFonts w:asciiTheme="minorHAnsi" w:hAnsiTheme="minorHAnsi" w:cstheme="minorHAnsi"/>
        </w:rPr>
        <w:t xml:space="preserve"> Gene Owens, </w:t>
      </w:r>
      <w:r w:rsidRPr="00497B60">
        <w:rPr>
          <w:rFonts w:asciiTheme="minorHAnsi" w:hAnsiTheme="minorHAnsi" w:cstheme="minorHAnsi"/>
          <w:i/>
        </w:rPr>
        <w:t xml:space="preserve">Capital Has the Power in </w:t>
      </w:r>
      <w:r w:rsidRPr="00497B60">
        <w:rPr>
          <w:rFonts w:asciiTheme="minorHAnsi" w:hAnsiTheme="minorHAnsi" w:cstheme="minorHAnsi"/>
          <w:i/>
          <w:color w:val="auto"/>
        </w:rPr>
        <w:t>Alabama</w:t>
      </w:r>
      <w:r w:rsidRPr="00497B60">
        <w:rPr>
          <w:rFonts w:asciiTheme="minorHAnsi" w:hAnsiTheme="minorHAnsi" w:cstheme="minorHAnsi"/>
          <w:smallCaps/>
          <w:color w:val="auto"/>
        </w:rPr>
        <w:t>, Mobile Press Register (</w:t>
      </w:r>
      <w:r w:rsidRPr="00497B60">
        <w:rPr>
          <w:rFonts w:asciiTheme="minorHAnsi" w:hAnsiTheme="minorHAnsi" w:cstheme="minorHAnsi"/>
          <w:color w:val="auto"/>
        </w:rPr>
        <w:t>Dec</w:t>
      </w:r>
      <w:r w:rsidRPr="00497B60">
        <w:rPr>
          <w:rFonts w:asciiTheme="minorHAnsi" w:hAnsiTheme="minorHAnsi" w:cstheme="minorHAnsi"/>
        </w:rPr>
        <w:t xml:space="preserve">. 11, 1994), </w:t>
      </w:r>
      <w:r w:rsidRPr="00497B60">
        <w:rPr>
          <w:rFonts w:asciiTheme="minorHAnsi" w:hAnsiTheme="minorHAnsi" w:cstheme="minorHAnsi"/>
          <w:i/>
        </w:rPr>
        <w:t>available at</w:t>
      </w:r>
      <w:r w:rsidRPr="00497B60">
        <w:rPr>
          <w:rFonts w:asciiTheme="minorHAnsi" w:hAnsiTheme="minorHAnsi" w:cstheme="minorHAnsi"/>
        </w:rPr>
        <w:t xml:space="preserve"> www.celdf.org/downloads/Alabama%20-%20Capital%20Has%20the%20Power.pdf. </w:t>
      </w:r>
    </w:p>
  </w:endnote>
  <w:endnote w:id="4">
    <w:p w:rsidR="00B360AD" w:rsidRPr="00497B60" w:rsidRDefault="00B360AD" w:rsidP="00E1011D">
      <w:pPr>
        <w:pStyle w:val="EndnoteText"/>
        <w:spacing w:after="40"/>
        <w:rPr>
          <w:sz w:val="24"/>
          <w:szCs w:val="24"/>
        </w:rPr>
      </w:pPr>
      <w:r w:rsidRPr="00497B60">
        <w:rPr>
          <w:rStyle w:val="EndnoteReference"/>
          <w:sz w:val="24"/>
          <w:szCs w:val="24"/>
        </w:rPr>
        <w:endnoteRef/>
      </w:r>
      <w:r w:rsidR="00E1011D" w:rsidRPr="00497B60">
        <w:rPr>
          <w:sz w:val="24"/>
          <w:szCs w:val="24"/>
        </w:rPr>
        <w:t xml:space="preserve"> </w:t>
      </w:r>
      <w:proofErr w:type="gramStart"/>
      <w:r w:rsidR="00E1011D" w:rsidRPr="00497B60">
        <w:rPr>
          <w:sz w:val="24"/>
          <w:szCs w:val="24"/>
        </w:rPr>
        <w:t>24 Iowa 455, 475 (1868)</w:t>
      </w:r>
      <w:r w:rsidRPr="00497B60">
        <w:rPr>
          <w:sz w:val="24"/>
          <w:szCs w:val="24"/>
        </w:rPr>
        <w:t>.</w:t>
      </w:r>
      <w:proofErr w:type="gramEnd"/>
    </w:p>
  </w:endnote>
  <w:endnote w:id="5">
    <w:p w:rsidR="00C030D2" w:rsidRPr="00C030D2" w:rsidRDefault="00C030D2">
      <w:pPr>
        <w:pStyle w:val="EndnoteText"/>
        <w:rPr>
          <w:sz w:val="24"/>
          <w:szCs w:val="24"/>
        </w:rPr>
      </w:pPr>
      <w:r w:rsidRPr="00C030D2">
        <w:rPr>
          <w:rStyle w:val="EndnoteReference"/>
          <w:sz w:val="24"/>
          <w:szCs w:val="24"/>
        </w:rPr>
        <w:endnoteRef/>
      </w:r>
      <w:r w:rsidRPr="00C030D2">
        <w:rPr>
          <w:sz w:val="24"/>
          <w:szCs w:val="24"/>
        </w:rPr>
        <w:t xml:space="preserve"> </w:t>
      </w:r>
      <w:r w:rsidRPr="00C030D2">
        <w:rPr>
          <w:smallCaps/>
          <w:sz w:val="24"/>
          <w:szCs w:val="24"/>
        </w:rPr>
        <w:t xml:space="preserve">Ala. </w:t>
      </w:r>
      <w:proofErr w:type="gramStart"/>
      <w:r w:rsidRPr="00C030D2">
        <w:rPr>
          <w:smallCaps/>
          <w:sz w:val="24"/>
          <w:szCs w:val="24"/>
        </w:rPr>
        <w:t>Const</w:t>
      </w:r>
      <w:r>
        <w:rPr>
          <w:sz w:val="24"/>
          <w:szCs w:val="24"/>
        </w:rPr>
        <w:t>. art.</w:t>
      </w:r>
      <w:proofErr w:type="gramEnd"/>
      <w:r>
        <w:rPr>
          <w:sz w:val="24"/>
          <w:szCs w:val="24"/>
        </w:rPr>
        <w:t xml:space="preserve"> </w:t>
      </w:r>
      <w:proofErr w:type="gramStart"/>
      <w:r>
        <w:rPr>
          <w:sz w:val="24"/>
          <w:szCs w:val="24"/>
        </w:rPr>
        <w:t xml:space="preserve">I, </w:t>
      </w:r>
      <w:r>
        <w:rPr>
          <w:rFonts w:cstheme="minorHAnsi"/>
          <w:sz w:val="24"/>
          <w:szCs w:val="24"/>
        </w:rPr>
        <w:t>§</w:t>
      </w:r>
      <w:r>
        <w:rPr>
          <w:sz w:val="24"/>
          <w:szCs w:val="24"/>
        </w:rPr>
        <w:t xml:space="preserve"> 44.</w:t>
      </w:r>
      <w:proofErr w:type="gramEnd"/>
    </w:p>
  </w:endnote>
  <w:endnote w:id="6">
    <w:p w:rsidR="004A1882" w:rsidRPr="00497B60" w:rsidRDefault="004A1882" w:rsidP="004A1882">
      <w:pPr>
        <w:pStyle w:val="EndnoteText"/>
        <w:rPr>
          <w:sz w:val="24"/>
          <w:szCs w:val="24"/>
        </w:rPr>
      </w:pPr>
      <w:r w:rsidRPr="00497B60">
        <w:rPr>
          <w:rStyle w:val="EndnoteReference"/>
          <w:sz w:val="24"/>
          <w:szCs w:val="24"/>
        </w:rPr>
        <w:endnoteRef/>
      </w:r>
      <w:r w:rsidRPr="00497B60">
        <w:rPr>
          <w:sz w:val="24"/>
          <w:szCs w:val="24"/>
        </w:rPr>
        <w:t xml:space="preserve"> </w:t>
      </w:r>
      <w:proofErr w:type="gramStart"/>
      <w:r>
        <w:rPr>
          <w:sz w:val="24"/>
          <w:szCs w:val="24"/>
        </w:rPr>
        <w:t xml:space="preserve">Jim Williams, </w:t>
      </w:r>
      <w:r w:rsidRPr="00497B60">
        <w:rPr>
          <w:i/>
          <w:sz w:val="24"/>
          <w:szCs w:val="24"/>
        </w:rPr>
        <w:t>Home Rule and the Alabama Constitution</w:t>
      </w:r>
      <w:r>
        <w:rPr>
          <w:sz w:val="24"/>
          <w:szCs w:val="24"/>
        </w:rPr>
        <w:t xml:space="preserve">, </w:t>
      </w:r>
      <w:r w:rsidRPr="00497B60">
        <w:rPr>
          <w:smallCaps/>
          <w:sz w:val="24"/>
          <w:szCs w:val="24"/>
        </w:rPr>
        <w:t>The Alabama Baptist</w:t>
      </w:r>
      <w:r>
        <w:rPr>
          <w:sz w:val="24"/>
          <w:szCs w:val="24"/>
        </w:rPr>
        <w:t xml:space="preserve"> (Nov. 10, 2011), </w:t>
      </w:r>
      <w:r w:rsidRPr="009D086C">
        <w:rPr>
          <w:i/>
          <w:sz w:val="24"/>
          <w:szCs w:val="24"/>
        </w:rPr>
        <w:t>available at</w:t>
      </w:r>
      <w:r>
        <w:rPr>
          <w:sz w:val="24"/>
          <w:szCs w:val="24"/>
        </w:rPr>
        <w:t xml:space="preserve"> </w:t>
      </w:r>
      <w:r w:rsidRPr="00497B60">
        <w:rPr>
          <w:sz w:val="24"/>
          <w:szCs w:val="24"/>
        </w:rPr>
        <w:t>www.thealabamabaptist.org/print-edition-article-detail.php?id_art=21242&amp;pricat_art=10</w:t>
      </w:r>
      <w:r>
        <w:rPr>
          <w:sz w:val="24"/>
          <w:szCs w:val="24"/>
        </w:rPr>
        <w: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1C" w:rsidRDefault="0016461C" w:rsidP="00FF51DF">
      <w:pPr>
        <w:spacing w:line="240" w:lineRule="auto"/>
      </w:pPr>
      <w:r>
        <w:separator/>
      </w:r>
    </w:p>
  </w:footnote>
  <w:footnote w:type="continuationSeparator" w:id="0">
    <w:p w:rsidR="0016461C" w:rsidRDefault="0016461C" w:rsidP="00FF51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74E9"/>
    <w:multiLevelType w:val="hybridMultilevel"/>
    <w:tmpl w:val="E0D6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070AC"/>
    <w:multiLevelType w:val="hybridMultilevel"/>
    <w:tmpl w:val="9286B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24"/>
    <w:rsid w:val="000A1415"/>
    <w:rsid w:val="000C2B1E"/>
    <w:rsid w:val="001300FC"/>
    <w:rsid w:val="00153399"/>
    <w:rsid w:val="0016461C"/>
    <w:rsid w:val="003C710C"/>
    <w:rsid w:val="00401FCD"/>
    <w:rsid w:val="00431BC3"/>
    <w:rsid w:val="00491BE6"/>
    <w:rsid w:val="00497B60"/>
    <w:rsid w:val="004A1882"/>
    <w:rsid w:val="004E101F"/>
    <w:rsid w:val="0054530D"/>
    <w:rsid w:val="005849B0"/>
    <w:rsid w:val="00595A01"/>
    <w:rsid w:val="005D45F3"/>
    <w:rsid w:val="006759A6"/>
    <w:rsid w:val="006920C1"/>
    <w:rsid w:val="006B3CA3"/>
    <w:rsid w:val="006F7ECA"/>
    <w:rsid w:val="00723A24"/>
    <w:rsid w:val="007651AB"/>
    <w:rsid w:val="00841A20"/>
    <w:rsid w:val="008B6369"/>
    <w:rsid w:val="00925DCD"/>
    <w:rsid w:val="00935353"/>
    <w:rsid w:val="009B257D"/>
    <w:rsid w:val="009C726A"/>
    <w:rsid w:val="009D086C"/>
    <w:rsid w:val="00A7213E"/>
    <w:rsid w:val="00A84397"/>
    <w:rsid w:val="00A86C32"/>
    <w:rsid w:val="00AA3772"/>
    <w:rsid w:val="00AC6BD3"/>
    <w:rsid w:val="00AD0FA5"/>
    <w:rsid w:val="00B35889"/>
    <w:rsid w:val="00B360AD"/>
    <w:rsid w:val="00BD554A"/>
    <w:rsid w:val="00C030D2"/>
    <w:rsid w:val="00C107C7"/>
    <w:rsid w:val="00C76CDA"/>
    <w:rsid w:val="00CA37A5"/>
    <w:rsid w:val="00CF2499"/>
    <w:rsid w:val="00DE06E7"/>
    <w:rsid w:val="00DE1B95"/>
    <w:rsid w:val="00DE3B29"/>
    <w:rsid w:val="00E1011D"/>
    <w:rsid w:val="00E714D8"/>
    <w:rsid w:val="00E71DD9"/>
    <w:rsid w:val="00F043B4"/>
    <w:rsid w:val="00F612C8"/>
    <w:rsid w:val="00F62407"/>
    <w:rsid w:val="00FC307D"/>
    <w:rsid w:val="00FE3139"/>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24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F249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A24"/>
    <w:pPr>
      <w:ind w:left="720"/>
      <w:contextualSpacing/>
    </w:pPr>
  </w:style>
  <w:style w:type="paragraph" w:styleId="NormalWeb">
    <w:name w:val="Normal (Web)"/>
    <w:basedOn w:val="Normal"/>
    <w:uiPriority w:val="99"/>
    <w:semiHidden/>
    <w:unhideWhenUsed/>
    <w:rsid w:val="00CF2499"/>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CF2499"/>
    <w:rPr>
      <w:i/>
      <w:iCs/>
    </w:rPr>
  </w:style>
  <w:style w:type="character" w:customStyle="1" w:styleId="Heading1Char">
    <w:name w:val="Heading 1 Char"/>
    <w:basedOn w:val="DefaultParagraphFont"/>
    <w:link w:val="Heading1"/>
    <w:uiPriority w:val="9"/>
    <w:rsid w:val="00CF249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F249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F2499"/>
    <w:rPr>
      <w:color w:val="0000FF" w:themeColor="hyperlink"/>
      <w:u w:val="single"/>
    </w:rPr>
  </w:style>
  <w:style w:type="character" w:styleId="Strong">
    <w:name w:val="Strong"/>
    <w:basedOn w:val="DefaultParagraphFont"/>
    <w:uiPriority w:val="22"/>
    <w:qFormat/>
    <w:rsid w:val="006920C1"/>
    <w:rPr>
      <w:b/>
      <w:bCs/>
    </w:rPr>
  </w:style>
  <w:style w:type="paragraph" w:customStyle="1" w:styleId="boldtext">
    <w:name w:val="boldtext"/>
    <w:basedOn w:val="Normal"/>
    <w:rsid w:val="006920C1"/>
    <w:pPr>
      <w:spacing w:before="100" w:beforeAutospacing="1" w:after="100" w:afterAutospacing="1"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FF51DF"/>
    <w:pPr>
      <w:spacing w:line="240" w:lineRule="auto"/>
    </w:pPr>
    <w:rPr>
      <w:sz w:val="20"/>
      <w:szCs w:val="20"/>
    </w:rPr>
  </w:style>
  <w:style w:type="character" w:customStyle="1" w:styleId="EndnoteTextChar">
    <w:name w:val="Endnote Text Char"/>
    <w:basedOn w:val="DefaultParagraphFont"/>
    <w:link w:val="EndnoteText"/>
    <w:uiPriority w:val="99"/>
    <w:semiHidden/>
    <w:rsid w:val="00FF51DF"/>
    <w:rPr>
      <w:sz w:val="20"/>
      <w:szCs w:val="20"/>
    </w:rPr>
  </w:style>
  <w:style w:type="character" w:styleId="EndnoteReference">
    <w:name w:val="endnote reference"/>
    <w:basedOn w:val="DefaultParagraphFont"/>
    <w:uiPriority w:val="99"/>
    <w:semiHidden/>
    <w:unhideWhenUsed/>
    <w:rsid w:val="00FF51DF"/>
    <w:rPr>
      <w:vertAlign w:val="superscript"/>
    </w:rPr>
  </w:style>
  <w:style w:type="paragraph" w:customStyle="1" w:styleId="Default">
    <w:name w:val="Default"/>
    <w:rsid w:val="006B3CA3"/>
    <w:pPr>
      <w:autoSpaceDE w:val="0"/>
      <w:autoSpaceDN w:val="0"/>
      <w:adjustRightInd w:val="0"/>
      <w:spacing w:line="240" w:lineRule="auto"/>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6B3CA3"/>
    <w:rPr>
      <w:sz w:val="16"/>
      <w:szCs w:val="16"/>
    </w:rPr>
  </w:style>
  <w:style w:type="paragraph" w:styleId="CommentText">
    <w:name w:val="annotation text"/>
    <w:basedOn w:val="Normal"/>
    <w:link w:val="CommentTextChar"/>
    <w:uiPriority w:val="99"/>
    <w:semiHidden/>
    <w:unhideWhenUsed/>
    <w:rsid w:val="006B3CA3"/>
    <w:pPr>
      <w:spacing w:line="240" w:lineRule="auto"/>
    </w:pPr>
    <w:rPr>
      <w:sz w:val="20"/>
      <w:szCs w:val="20"/>
    </w:rPr>
  </w:style>
  <w:style w:type="character" w:customStyle="1" w:styleId="CommentTextChar">
    <w:name w:val="Comment Text Char"/>
    <w:basedOn w:val="DefaultParagraphFont"/>
    <w:link w:val="CommentText"/>
    <w:uiPriority w:val="99"/>
    <w:semiHidden/>
    <w:rsid w:val="006B3CA3"/>
    <w:rPr>
      <w:sz w:val="20"/>
      <w:szCs w:val="20"/>
    </w:rPr>
  </w:style>
  <w:style w:type="paragraph" w:styleId="CommentSubject">
    <w:name w:val="annotation subject"/>
    <w:basedOn w:val="CommentText"/>
    <w:next w:val="CommentText"/>
    <w:link w:val="CommentSubjectChar"/>
    <w:uiPriority w:val="99"/>
    <w:semiHidden/>
    <w:unhideWhenUsed/>
    <w:rsid w:val="006B3CA3"/>
    <w:rPr>
      <w:b/>
      <w:bCs/>
    </w:rPr>
  </w:style>
  <w:style w:type="character" w:customStyle="1" w:styleId="CommentSubjectChar">
    <w:name w:val="Comment Subject Char"/>
    <w:basedOn w:val="CommentTextChar"/>
    <w:link w:val="CommentSubject"/>
    <w:uiPriority w:val="99"/>
    <w:semiHidden/>
    <w:rsid w:val="006B3CA3"/>
    <w:rPr>
      <w:b/>
      <w:bCs/>
      <w:sz w:val="20"/>
      <w:szCs w:val="20"/>
    </w:rPr>
  </w:style>
  <w:style w:type="paragraph" w:styleId="BalloonText">
    <w:name w:val="Balloon Text"/>
    <w:basedOn w:val="Normal"/>
    <w:link w:val="BalloonTextChar"/>
    <w:uiPriority w:val="99"/>
    <w:semiHidden/>
    <w:unhideWhenUsed/>
    <w:rsid w:val="006B3C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CA3"/>
    <w:rPr>
      <w:rFonts w:ascii="Tahoma" w:hAnsi="Tahoma" w:cs="Tahoma"/>
      <w:sz w:val="16"/>
      <w:szCs w:val="16"/>
    </w:rPr>
  </w:style>
  <w:style w:type="character" w:styleId="FollowedHyperlink">
    <w:name w:val="FollowedHyperlink"/>
    <w:basedOn w:val="DefaultParagraphFont"/>
    <w:uiPriority w:val="99"/>
    <w:semiHidden/>
    <w:unhideWhenUsed/>
    <w:rsid w:val="00DE1B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24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F249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A24"/>
    <w:pPr>
      <w:ind w:left="720"/>
      <w:contextualSpacing/>
    </w:pPr>
  </w:style>
  <w:style w:type="paragraph" w:styleId="NormalWeb">
    <w:name w:val="Normal (Web)"/>
    <w:basedOn w:val="Normal"/>
    <w:uiPriority w:val="99"/>
    <w:semiHidden/>
    <w:unhideWhenUsed/>
    <w:rsid w:val="00CF2499"/>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CF2499"/>
    <w:rPr>
      <w:i/>
      <w:iCs/>
    </w:rPr>
  </w:style>
  <w:style w:type="character" w:customStyle="1" w:styleId="Heading1Char">
    <w:name w:val="Heading 1 Char"/>
    <w:basedOn w:val="DefaultParagraphFont"/>
    <w:link w:val="Heading1"/>
    <w:uiPriority w:val="9"/>
    <w:rsid w:val="00CF249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F249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F2499"/>
    <w:rPr>
      <w:color w:val="0000FF" w:themeColor="hyperlink"/>
      <w:u w:val="single"/>
    </w:rPr>
  </w:style>
  <w:style w:type="character" w:styleId="Strong">
    <w:name w:val="Strong"/>
    <w:basedOn w:val="DefaultParagraphFont"/>
    <w:uiPriority w:val="22"/>
    <w:qFormat/>
    <w:rsid w:val="006920C1"/>
    <w:rPr>
      <w:b/>
      <w:bCs/>
    </w:rPr>
  </w:style>
  <w:style w:type="paragraph" w:customStyle="1" w:styleId="boldtext">
    <w:name w:val="boldtext"/>
    <w:basedOn w:val="Normal"/>
    <w:rsid w:val="006920C1"/>
    <w:pPr>
      <w:spacing w:before="100" w:beforeAutospacing="1" w:after="100" w:afterAutospacing="1"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FF51DF"/>
    <w:pPr>
      <w:spacing w:line="240" w:lineRule="auto"/>
    </w:pPr>
    <w:rPr>
      <w:sz w:val="20"/>
      <w:szCs w:val="20"/>
    </w:rPr>
  </w:style>
  <w:style w:type="character" w:customStyle="1" w:styleId="EndnoteTextChar">
    <w:name w:val="Endnote Text Char"/>
    <w:basedOn w:val="DefaultParagraphFont"/>
    <w:link w:val="EndnoteText"/>
    <w:uiPriority w:val="99"/>
    <w:semiHidden/>
    <w:rsid w:val="00FF51DF"/>
    <w:rPr>
      <w:sz w:val="20"/>
      <w:szCs w:val="20"/>
    </w:rPr>
  </w:style>
  <w:style w:type="character" w:styleId="EndnoteReference">
    <w:name w:val="endnote reference"/>
    <w:basedOn w:val="DefaultParagraphFont"/>
    <w:uiPriority w:val="99"/>
    <w:semiHidden/>
    <w:unhideWhenUsed/>
    <w:rsid w:val="00FF51DF"/>
    <w:rPr>
      <w:vertAlign w:val="superscript"/>
    </w:rPr>
  </w:style>
  <w:style w:type="paragraph" w:customStyle="1" w:styleId="Default">
    <w:name w:val="Default"/>
    <w:rsid w:val="006B3CA3"/>
    <w:pPr>
      <w:autoSpaceDE w:val="0"/>
      <w:autoSpaceDN w:val="0"/>
      <w:adjustRightInd w:val="0"/>
      <w:spacing w:line="240" w:lineRule="auto"/>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6B3CA3"/>
    <w:rPr>
      <w:sz w:val="16"/>
      <w:szCs w:val="16"/>
    </w:rPr>
  </w:style>
  <w:style w:type="paragraph" w:styleId="CommentText">
    <w:name w:val="annotation text"/>
    <w:basedOn w:val="Normal"/>
    <w:link w:val="CommentTextChar"/>
    <w:uiPriority w:val="99"/>
    <w:semiHidden/>
    <w:unhideWhenUsed/>
    <w:rsid w:val="006B3CA3"/>
    <w:pPr>
      <w:spacing w:line="240" w:lineRule="auto"/>
    </w:pPr>
    <w:rPr>
      <w:sz w:val="20"/>
      <w:szCs w:val="20"/>
    </w:rPr>
  </w:style>
  <w:style w:type="character" w:customStyle="1" w:styleId="CommentTextChar">
    <w:name w:val="Comment Text Char"/>
    <w:basedOn w:val="DefaultParagraphFont"/>
    <w:link w:val="CommentText"/>
    <w:uiPriority w:val="99"/>
    <w:semiHidden/>
    <w:rsid w:val="006B3CA3"/>
    <w:rPr>
      <w:sz w:val="20"/>
      <w:szCs w:val="20"/>
    </w:rPr>
  </w:style>
  <w:style w:type="paragraph" w:styleId="CommentSubject">
    <w:name w:val="annotation subject"/>
    <w:basedOn w:val="CommentText"/>
    <w:next w:val="CommentText"/>
    <w:link w:val="CommentSubjectChar"/>
    <w:uiPriority w:val="99"/>
    <w:semiHidden/>
    <w:unhideWhenUsed/>
    <w:rsid w:val="006B3CA3"/>
    <w:rPr>
      <w:b/>
      <w:bCs/>
    </w:rPr>
  </w:style>
  <w:style w:type="character" w:customStyle="1" w:styleId="CommentSubjectChar">
    <w:name w:val="Comment Subject Char"/>
    <w:basedOn w:val="CommentTextChar"/>
    <w:link w:val="CommentSubject"/>
    <w:uiPriority w:val="99"/>
    <w:semiHidden/>
    <w:rsid w:val="006B3CA3"/>
    <w:rPr>
      <w:b/>
      <w:bCs/>
      <w:sz w:val="20"/>
      <w:szCs w:val="20"/>
    </w:rPr>
  </w:style>
  <w:style w:type="paragraph" w:styleId="BalloonText">
    <w:name w:val="Balloon Text"/>
    <w:basedOn w:val="Normal"/>
    <w:link w:val="BalloonTextChar"/>
    <w:uiPriority w:val="99"/>
    <w:semiHidden/>
    <w:unhideWhenUsed/>
    <w:rsid w:val="006B3C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CA3"/>
    <w:rPr>
      <w:rFonts w:ascii="Tahoma" w:hAnsi="Tahoma" w:cs="Tahoma"/>
      <w:sz w:val="16"/>
      <w:szCs w:val="16"/>
    </w:rPr>
  </w:style>
  <w:style w:type="character" w:styleId="FollowedHyperlink">
    <w:name w:val="FollowedHyperlink"/>
    <w:basedOn w:val="DefaultParagraphFont"/>
    <w:uiPriority w:val="99"/>
    <w:semiHidden/>
    <w:unhideWhenUsed/>
    <w:rsid w:val="00DE1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36893">
      <w:bodyDiv w:val="1"/>
      <w:marLeft w:val="0"/>
      <w:marRight w:val="0"/>
      <w:marTop w:val="0"/>
      <w:marBottom w:val="0"/>
      <w:divBdr>
        <w:top w:val="none" w:sz="0" w:space="0" w:color="auto"/>
        <w:left w:val="none" w:sz="0" w:space="0" w:color="auto"/>
        <w:bottom w:val="none" w:sz="0" w:space="0" w:color="auto"/>
        <w:right w:val="none" w:sz="0" w:space="0" w:color="auto"/>
      </w:divBdr>
    </w:div>
    <w:div w:id="1448701198">
      <w:bodyDiv w:val="1"/>
      <w:marLeft w:val="0"/>
      <w:marRight w:val="0"/>
      <w:marTop w:val="0"/>
      <w:marBottom w:val="0"/>
      <w:divBdr>
        <w:top w:val="none" w:sz="0" w:space="0" w:color="auto"/>
        <w:left w:val="none" w:sz="0" w:space="0" w:color="auto"/>
        <w:bottom w:val="none" w:sz="0" w:space="0" w:color="auto"/>
        <w:right w:val="none" w:sz="0" w:space="0" w:color="auto"/>
      </w:divBdr>
    </w:div>
    <w:div w:id="1682664929">
      <w:bodyDiv w:val="1"/>
      <w:marLeft w:val="0"/>
      <w:marRight w:val="0"/>
      <w:marTop w:val="0"/>
      <w:marBottom w:val="0"/>
      <w:divBdr>
        <w:top w:val="none" w:sz="0" w:space="0" w:color="auto"/>
        <w:left w:val="none" w:sz="0" w:space="0" w:color="auto"/>
        <w:bottom w:val="none" w:sz="0" w:space="0" w:color="auto"/>
        <w:right w:val="none" w:sz="0" w:space="0" w:color="auto"/>
      </w:divBdr>
    </w:div>
    <w:div w:id="1978073847">
      <w:bodyDiv w:val="1"/>
      <w:marLeft w:val="0"/>
      <w:marRight w:val="0"/>
      <w:marTop w:val="0"/>
      <w:marBottom w:val="0"/>
      <w:divBdr>
        <w:top w:val="none" w:sz="0" w:space="0" w:color="auto"/>
        <w:left w:val="none" w:sz="0" w:space="0" w:color="auto"/>
        <w:bottom w:val="none" w:sz="0" w:space="0" w:color="auto"/>
        <w:right w:val="none" w:sz="0" w:space="0" w:color="auto"/>
      </w:divBdr>
    </w:div>
    <w:div w:id="2083209600">
      <w:bodyDiv w:val="1"/>
      <w:marLeft w:val="0"/>
      <w:marRight w:val="0"/>
      <w:marTop w:val="0"/>
      <w:marBottom w:val="0"/>
      <w:divBdr>
        <w:top w:val="none" w:sz="0" w:space="0" w:color="auto"/>
        <w:left w:val="none" w:sz="0" w:space="0" w:color="auto"/>
        <w:bottom w:val="none" w:sz="0" w:space="0" w:color="auto"/>
        <w:right w:val="none" w:sz="0" w:space="0" w:color="auto"/>
      </w:divBdr>
      <w:divsChild>
        <w:div w:id="632250310">
          <w:marLeft w:val="0"/>
          <w:marRight w:val="0"/>
          <w:marTop w:val="0"/>
          <w:marBottom w:val="0"/>
          <w:divBdr>
            <w:top w:val="none" w:sz="0" w:space="0" w:color="auto"/>
            <w:left w:val="none" w:sz="0" w:space="0" w:color="auto"/>
            <w:bottom w:val="none" w:sz="0" w:space="0" w:color="auto"/>
            <w:right w:val="none" w:sz="0" w:space="0" w:color="auto"/>
          </w:divBdr>
        </w:div>
        <w:div w:id="1284843436">
          <w:marLeft w:val="0"/>
          <w:marRight w:val="0"/>
          <w:marTop w:val="0"/>
          <w:marBottom w:val="0"/>
          <w:divBdr>
            <w:top w:val="none" w:sz="0" w:space="0" w:color="auto"/>
            <w:left w:val="none" w:sz="0" w:space="0" w:color="auto"/>
            <w:bottom w:val="none" w:sz="0" w:space="0" w:color="auto"/>
            <w:right w:val="none" w:sz="0" w:space="0" w:color="auto"/>
          </w:divBdr>
          <w:divsChild>
            <w:div w:id="17372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706CBE7-A751-4C77-92D2-A7D3EF52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Hill</dc:creator>
  <cp:lastModifiedBy>Cameron Smith</cp:lastModifiedBy>
  <cp:revision>15</cp:revision>
  <dcterms:created xsi:type="dcterms:W3CDTF">2012-03-19T15:06:00Z</dcterms:created>
  <dcterms:modified xsi:type="dcterms:W3CDTF">2012-03-23T15:52:00Z</dcterms:modified>
</cp:coreProperties>
</file>